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8039" w14:textId="77777777" w:rsidR="007F44E0" w:rsidRPr="008D1B7E" w:rsidRDefault="007F44E0" w:rsidP="00AB05BE">
      <w:pPr>
        <w:pStyle w:val="Default"/>
        <w:spacing w:line="360" w:lineRule="auto"/>
        <w:jc w:val="center"/>
        <w:rPr>
          <w:rFonts w:ascii="Times New Roman" w:hAnsi="Times New Roman" w:cs="Times New Roman"/>
          <w:b/>
          <w:color w:val="auto"/>
          <w:sz w:val="28"/>
          <w:szCs w:val="28"/>
          <w:lang w:val="sr-Cyrl-CS"/>
        </w:rPr>
      </w:pPr>
      <w:r w:rsidRPr="008D1B7E">
        <w:rPr>
          <w:rFonts w:ascii="Times New Roman" w:hAnsi="Times New Roman" w:cs="Times New Roman"/>
          <w:b/>
          <w:color w:val="auto"/>
          <w:sz w:val="28"/>
          <w:szCs w:val="28"/>
          <w:lang w:val="sr-Cyrl-CS"/>
        </w:rPr>
        <w:t>Tumor immunotherapy</w:t>
      </w:r>
    </w:p>
    <w:p w14:paraId="7ED5C55F" w14:textId="77777777" w:rsidR="007F44E0" w:rsidRDefault="007F44E0" w:rsidP="00AB05BE">
      <w:pPr>
        <w:autoSpaceDE w:val="0"/>
        <w:autoSpaceDN w:val="0"/>
        <w:adjustRightInd w:val="0"/>
        <w:spacing w:line="360" w:lineRule="auto"/>
        <w:jc w:val="both"/>
        <w:rPr>
          <w:lang w:val="sr-Cyrl-CS"/>
        </w:rPr>
      </w:pPr>
    </w:p>
    <w:p w14:paraId="6A01D654" w14:textId="77777777" w:rsidR="00386E69" w:rsidRDefault="008D1B7E" w:rsidP="00AB05BE">
      <w:pPr>
        <w:autoSpaceDE w:val="0"/>
        <w:autoSpaceDN w:val="0"/>
        <w:adjustRightInd w:val="0"/>
        <w:spacing w:line="360" w:lineRule="auto"/>
        <w:jc w:val="both"/>
      </w:pPr>
      <w:r>
        <w:rPr>
          <w:bCs/>
          <w:lang w:val="sr-Cyrl-CS"/>
        </w:rPr>
        <w:t>The conventional treatment for most tumors is chemotherapy.</w:t>
      </w:r>
      <w:r>
        <w:t>The fractional cytotoxicity hypothesis of chemotherapy assumes that a given concentration of a cytotoxic agent, administered over a period of time, kills a constant fraction of the tumor cell population. Thus, each subsequent treatment cycle kills the same fraction of the remaining cells. For example, if the cytotoxic effect is 99% per cycle, the tumor cell population of 1011 will be reduced to less than one cell after six cycles: [1011 cells] Ã— [0.01]6 &lt;1.</w:t>
      </w:r>
    </w:p>
    <w:p w14:paraId="6388486E" w14:textId="77777777" w:rsidR="001B3A66" w:rsidRDefault="00386E69" w:rsidP="00AB05BE">
      <w:pPr>
        <w:autoSpaceDE w:val="0"/>
        <w:autoSpaceDN w:val="0"/>
        <w:adjustRightInd w:val="0"/>
        <w:spacing w:line="360" w:lineRule="auto"/>
        <w:jc w:val="both"/>
      </w:pPr>
      <w:r w:rsidRPr="00386E69">
        <w:t>It is generally known that the development of drug resistance (cytostatics) is a consequence of random mutations in the tumor cell population. The possibility of de novo development of resistance in any tumor cell population increases with the number of cells and the number of cell divisions.</w:t>
      </w:r>
    </w:p>
    <w:p w14:paraId="7E4F7DB9" w14:textId="77777777" w:rsidR="00386E69" w:rsidRDefault="00386E69" w:rsidP="00AB05BE">
      <w:pPr>
        <w:autoSpaceDE w:val="0"/>
        <w:autoSpaceDN w:val="0"/>
        <w:adjustRightInd w:val="0"/>
        <w:spacing w:line="360" w:lineRule="auto"/>
        <w:jc w:val="both"/>
      </w:pPr>
      <w:r>
        <w:t>Additional problems in the use of chemotherapy are non-selectivity and toxicity. Tumor chemotherapy relies on drugs that kill dividing cells or block cell division, however, with a very pronounced detrimental effect on normal cells, which is accompanied by high morbidity and mortality.</w:t>
      </w:r>
    </w:p>
    <w:p w14:paraId="4A971346" w14:textId="77777777" w:rsidR="00386E69" w:rsidRPr="003A4E1A" w:rsidRDefault="00386E69" w:rsidP="00AB05BE">
      <w:pPr>
        <w:autoSpaceDE w:val="0"/>
        <w:autoSpaceDN w:val="0"/>
        <w:adjustRightInd w:val="0"/>
        <w:spacing w:line="360" w:lineRule="auto"/>
        <w:jc w:val="both"/>
      </w:pPr>
      <w:r w:rsidRPr="00386E69">
        <w:t>How to create tumor-specific therapy based on the biological characteristics of the tumor? Biotherapy represents the first attempt to make cancer therapy specific to malignant cells</w:t>
      </w:r>
    </w:p>
    <w:p w14:paraId="20CB4204" w14:textId="77777777" w:rsidR="008D1B7E" w:rsidRDefault="003A4E1A" w:rsidP="00AB05BE">
      <w:pPr>
        <w:autoSpaceDE w:val="0"/>
        <w:autoSpaceDN w:val="0"/>
        <w:adjustRightInd w:val="0"/>
        <w:spacing w:line="360" w:lineRule="auto"/>
        <w:jc w:val="both"/>
        <w:rPr>
          <w:lang w:val="sr-Cyrl-CS"/>
        </w:rPr>
      </w:pPr>
      <w:r w:rsidRPr="003A4E1A">
        <w:rPr>
          <w:lang w:val="sr-Cyrl-CS"/>
        </w:rPr>
        <w:t>Biotherapy involves the use of agents of biological origin or agents that modify the biological response. Synonyms: biological therapy, immunotherapy, biological response modifier therapy. Immunotherapy is a form of biotherapy that uses and modifies the immune system, the cells and molecules of the immune system involved in the immune response, to fight disease.</w:t>
      </w:r>
    </w:p>
    <w:p w14:paraId="30B06846" w14:textId="77777777" w:rsidR="0042279A" w:rsidRDefault="0042279A" w:rsidP="00AB05BE">
      <w:pPr>
        <w:autoSpaceDE w:val="0"/>
        <w:autoSpaceDN w:val="0"/>
        <w:adjustRightInd w:val="0"/>
        <w:spacing w:line="360" w:lineRule="auto"/>
        <w:jc w:val="both"/>
        <w:rPr>
          <w:lang w:val="sr-Cyrl-CS"/>
        </w:rPr>
      </w:pPr>
      <w:r w:rsidRPr="0042279A">
        <w:rPr>
          <w:lang w:val="sr-Cyrl-CS"/>
        </w:rPr>
        <w:t>Three key observations that have enabled the emergence of immunotherapy are the spontaneous remission of some tumors, the increased incidence of tumors in immunosuppressed individuals, and the presence of lymphocytic infiltrates in tumors. The common name for agents used in biotherapy is biological response modifiers. Today, large quantities of biological response modifiers can be made in the laboratory and used in the therapy of many diseases, such as malignant tumors, chronic HCV infection, rheumatoid arthritis...</w:t>
      </w:r>
    </w:p>
    <w:p w14:paraId="7A9D1094" w14:textId="77777777" w:rsidR="0042279A" w:rsidRDefault="0042279A" w:rsidP="00AB05BE">
      <w:pPr>
        <w:autoSpaceDE w:val="0"/>
        <w:autoSpaceDN w:val="0"/>
        <w:adjustRightInd w:val="0"/>
        <w:spacing w:line="360" w:lineRule="auto"/>
        <w:jc w:val="both"/>
        <w:rPr>
          <w:lang w:val="sr-Cyrl-CS"/>
        </w:rPr>
      </w:pPr>
    </w:p>
    <w:p w14:paraId="76920515" w14:textId="77777777" w:rsidR="0042279A" w:rsidRDefault="0042279A" w:rsidP="00AB05BE">
      <w:pPr>
        <w:autoSpaceDE w:val="0"/>
        <w:autoSpaceDN w:val="0"/>
        <w:adjustRightInd w:val="0"/>
        <w:spacing w:line="360" w:lineRule="auto"/>
        <w:jc w:val="both"/>
        <w:rPr>
          <w:lang w:val="sr-Cyrl-CS"/>
        </w:rPr>
      </w:pPr>
    </w:p>
    <w:p w14:paraId="5AD9F8A1" w14:textId="77777777" w:rsidR="007F44E0" w:rsidRDefault="0042279A" w:rsidP="00AB05BE">
      <w:pPr>
        <w:autoSpaceDE w:val="0"/>
        <w:autoSpaceDN w:val="0"/>
        <w:adjustRightInd w:val="0"/>
        <w:spacing w:line="360" w:lineRule="auto"/>
        <w:jc w:val="both"/>
        <w:rPr>
          <w:lang w:val="sr-Cyrl-CS"/>
        </w:rPr>
      </w:pPr>
      <w:r w:rsidRPr="00E02C04">
        <w:rPr>
          <w:lang w:val="sr-Cyrl-CS"/>
        </w:rPr>
        <w:lastRenderedPageBreak/>
        <w:t>The goal of tumor treatment is the complete elimination of malignant cells, and this is rarely achieved. Even in the case of successful application of conventional therapy with clinical remission, a small population of malignant cells often remains. Immunotherapy in such circumstances has a higher chance of working. The immune response to the tumor is specific for tumor antigens, and will not significantly damage normal cells. Tumor immunotherapy is aimed at increasing the weak host immune response to tumors (active immunity) or at administering tumor-specific antibodies or cells, a form of passive immunity.</w:t>
      </w:r>
    </w:p>
    <w:p w14:paraId="77241805" w14:textId="77777777" w:rsidR="007F44E0" w:rsidRDefault="007F44E0" w:rsidP="00AB05BE">
      <w:pPr>
        <w:autoSpaceDE w:val="0"/>
        <w:autoSpaceDN w:val="0"/>
        <w:adjustRightInd w:val="0"/>
        <w:spacing w:line="360" w:lineRule="auto"/>
        <w:rPr>
          <w:lang w:val="sr-Cyrl-CS"/>
        </w:rPr>
      </w:pPr>
    </w:p>
    <w:p w14:paraId="3EBA685C" w14:textId="77777777" w:rsidR="007F44E0" w:rsidRDefault="007F44E0" w:rsidP="00AB05BE">
      <w:pPr>
        <w:autoSpaceDE w:val="0"/>
        <w:autoSpaceDN w:val="0"/>
        <w:adjustRightInd w:val="0"/>
        <w:spacing w:line="360" w:lineRule="auto"/>
        <w:rPr>
          <w:lang w:val="sr-Cyrl-CS"/>
        </w:rPr>
      </w:pPr>
    </w:p>
    <w:p w14:paraId="104264AC" w14:textId="77777777" w:rsidR="007F44E0" w:rsidRPr="00E02C04" w:rsidRDefault="007F44E0" w:rsidP="00AB05BE">
      <w:pPr>
        <w:autoSpaceDE w:val="0"/>
        <w:autoSpaceDN w:val="0"/>
        <w:adjustRightInd w:val="0"/>
        <w:spacing w:line="360" w:lineRule="auto"/>
        <w:rPr>
          <w:b/>
          <w:bCs/>
          <w:lang w:val="sr-Cyrl-CS"/>
        </w:rPr>
      </w:pPr>
      <w:r>
        <w:rPr>
          <w:b/>
          <w:bCs/>
          <w:lang w:val="sr-Cyrl-CS"/>
        </w:rPr>
        <w:t>Non-specific immunotherapy</w:t>
      </w:r>
    </w:p>
    <w:p w14:paraId="5E1CC664" w14:textId="77777777" w:rsidR="007F44E0" w:rsidRPr="00F127F4" w:rsidRDefault="007F44E0" w:rsidP="00AB05BE">
      <w:pPr>
        <w:autoSpaceDE w:val="0"/>
        <w:autoSpaceDN w:val="0"/>
        <w:adjustRightInd w:val="0"/>
        <w:spacing w:line="360" w:lineRule="auto"/>
        <w:jc w:val="both"/>
        <w:rPr>
          <w:color w:val="000080"/>
          <w:lang w:val="sr-Cyrl-CS"/>
        </w:rPr>
      </w:pPr>
      <w:r w:rsidRPr="00E02C04">
        <w:rPr>
          <w:lang w:val="sr-Cyrl-CS"/>
        </w:rPr>
        <w:t>This type of tumor therapy aims to enhance the response to the tumor by general stimulation of the immune system. As part of non-specific tumor therapy, bacteria that strongly stimulate macrophages, such as Bacillus Calmette-Guerin (BCG) and Corynebacterium parvum, have been used.</w:t>
      </w:r>
      <w:r w:rsidRPr="00F127F4">
        <w:rPr>
          <w:color w:val="000080"/>
          <w:lang w:val="sr-Cyrl-CS"/>
        </w:rPr>
        <w:t xml:space="preserve">In </w:t>
      </w:r>
      <w:r w:rsidRPr="008B134F">
        <w:rPr>
          <w:lang w:val="sr-Cyrl-CS"/>
        </w:rPr>
        <w:t>1959, Biozzie discovered that when Bacille Calmette-Guérin (BCG), an otherwise nonspecific activator of the mononuclear phagocytic system, was inoculated into mice, it slowed the growth of some tumors.</w:t>
      </w:r>
    </w:p>
    <w:p w14:paraId="10F3D51B" w14:textId="77777777" w:rsidR="007F44E0" w:rsidRPr="00E02C04" w:rsidRDefault="007F44E0" w:rsidP="00AB05BE">
      <w:pPr>
        <w:autoSpaceDE w:val="0"/>
        <w:autoSpaceDN w:val="0"/>
        <w:adjustRightInd w:val="0"/>
        <w:spacing w:line="360" w:lineRule="auto"/>
        <w:jc w:val="both"/>
        <w:rPr>
          <w:lang w:val="sr-Cyrl-CS"/>
        </w:rPr>
      </w:pPr>
      <w:r w:rsidRPr="00E02C04">
        <w:rPr>
          <w:lang w:val="sr-Cyrl-CS"/>
        </w:rPr>
        <w:t>The next generation of nonspecific immunostimulators are represented by cytokines, namely IL-2, TNF-α and interferons.</w:t>
      </w:r>
    </w:p>
    <w:p w14:paraId="75431A10" w14:textId="77777777" w:rsidR="007F44E0" w:rsidRPr="009013E4" w:rsidRDefault="007F44E0" w:rsidP="00AB05BE">
      <w:pPr>
        <w:spacing w:line="360" w:lineRule="auto"/>
        <w:jc w:val="both"/>
        <w:rPr>
          <w:lang w:val="sr-Cyrl-CS"/>
        </w:rPr>
      </w:pPr>
      <w:r w:rsidRPr="009013E4">
        <w:rPr>
          <w:lang w:val="sr-Cyrl-CS"/>
        </w:rPr>
        <w:t>Tumor cells elicit weak immune responses because they lack costimulators and usually do not express type II MHC molecules, so they do not activate helper T lymphocytes. In this regard, the enhancement of immunity is based on the artificial replacement of costimulators and exogenous cytokines that can increase T lymphocyte growth and activation, thus replacing the functions of helper T cells (Figure 1). An example of enhancing T cell costimulation is the transfection of tumor cells with genes encoding the B7 costimulatory molecule.</w:t>
      </w:r>
    </w:p>
    <w:p w14:paraId="2A4BCCED" w14:textId="77777777" w:rsidR="007F44E0" w:rsidRPr="009013E4" w:rsidRDefault="007F44E0" w:rsidP="00AB05BE">
      <w:pPr>
        <w:autoSpaceDE w:val="0"/>
        <w:autoSpaceDN w:val="0"/>
        <w:adjustRightInd w:val="0"/>
        <w:spacing w:line="360" w:lineRule="auto"/>
        <w:jc w:val="both"/>
        <w:rPr>
          <w:b/>
          <w:lang w:val="sr-Cyrl-CS"/>
        </w:rPr>
      </w:pPr>
    </w:p>
    <w:p w14:paraId="39017657" w14:textId="77777777" w:rsidR="007F44E0" w:rsidRDefault="007F44E0" w:rsidP="00AB05BE">
      <w:pPr>
        <w:autoSpaceDE w:val="0"/>
        <w:autoSpaceDN w:val="0"/>
        <w:adjustRightInd w:val="0"/>
        <w:spacing w:line="360" w:lineRule="auto"/>
        <w:jc w:val="both"/>
        <w:rPr>
          <w:b/>
          <w:lang w:val="sr-Cyrl-CS"/>
        </w:rPr>
      </w:pPr>
    </w:p>
    <w:p w14:paraId="0825C412" w14:textId="77777777" w:rsidR="007F44E0" w:rsidRDefault="007F44E0" w:rsidP="00AB05BE">
      <w:pPr>
        <w:autoSpaceDE w:val="0"/>
        <w:autoSpaceDN w:val="0"/>
        <w:adjustRightInd w:val="0"/>
        <w:spacing w:line="360" w:lineRule="auto"/>
        <w:jc w:val="both"/>
        <w:rPr>
          <w:b/>
          <w:lang w:val="sr-Cyrl-CS"/>
        </w:rPr>
      </w:pPr>
    </w:p>
    <w:p w14:paraId="2BDF9F90" w14:textId="77777777" w:rsidR="007F44E0" w:rsidRDefault="007F44E0" w:rsidP="00AB05BE">
      <w:pPr>
        <w:autoSpaceDE w:val="0"/>
        <w:autoSpaceDN w:val="0"/>
        <w:adjustRightInd w:val="0"/>
        <w:spacing w:line="360" w:lineRule="auto"/>
        <w:jc w:val="both"/>
        <w:rPr>
          <w:b/>
          <w:lang w:val="sr-Cyrl-CS"/>
        </w:rPr>
      </w:pPr>
    </w:p>
    <w:p w14:paraId="3CF9138E" w14:textId="77777777" w:rsidR="007F44E0" w:rsidRDefault="007F44E0" w:rsidP="00AB05BE">
      <w:pPr>
        <w:autoSpaceDE w:val="0"/>
        <w:autoSpaceDN w:val="0"/>
        <w:adjustRightInd w:val="0"/>
        <w:spacing w:line="360" w:lineRule="auto"/>
        <w:jc w:val="both"/>
        <w:rPr>
          <w:b/>
          <w:lang w:val="sr-Cyrl-CS"/>
        </w:rPr>
      </w:pPr>
    </w:p>
    <w:p w14:paraId="3A7009ED" w14:textId="77777777" w:rsidR="007F44E0" w:rsidRDefault="007F44E0" w:rsidP="00AB05BE">
      <w:pPr>
        <w:autoSpaceDE w:val="0"/>
        <w:autoSpaceDN w:val="0"/>
        <w:adjustRightInd w:val="0"/>
        <w:spacing w:line="360" w:lineRule="auto"/>
        <w:jc w:val="both"/>
        <w:rPr>
          <w:b/>
          <w:lang w:val="sr-Cyrl-CS"/>
        </w:rPr>
      </w:pPr>
    </w:p>
    <w:p w14:paraId="77398CAE" w14:textId="77777777" w:rsidR="007F44E0" w:rsidRDefault="007F44E0" w:rsidP="00AB05BE">
      <w:pPr>
        <w:autoSpaceDE w:val="0"/>
        <w:autoSpaceDN w:val="0"/>
        <w:adjustRightInd w:val="0"/>
        <w:spacing w:line="360" w:lineRule="auto"/>
        <w:jc w:val="both"/>
        <w:rPr>
          <w:b/>
          <w:lang w:val="sr-Cyrl-CS"/>
        </w:rPr>
      </w:pPr>
    </w:p>
    <w:p w14:paraId="75D6E944" w14:textId="77777777" w:rsidR="007F44E0" w:rsidRDefault="007F44E0" w:rsidP="00AB05BE">
      <w:pPr>
        <w:autoSpaceDE w:val="0"/>
        <w:autoSpaceDN w:val="0"/>
        <w:adjustRightInd w:val="0"/>
        <w:spacing w:line="360" w:lineRule="auto"/>
        <w:jc w:val="both"/>
        <w:rPr>
          <w:b/>
          <w:lang w:val="sr-Cyrl-CS"/>
        </w:rPr>
      </w:pPr>
    </w:p>
    <w:p w14:paraId="50BFD1DC" w14:textId="77777777" w:rsidR="007F44E0" w:rsidRDefault="007F44E0" w:rsidP="00AB05BE">
      <w:pPr>
        <w:autoSpaceDE w:val="0"/>
        <w:autoSpaceDN w:val="0"/>
        <w:adjustRightInd w:val="0"/>
        <w:spacing w:line="360" w:lineRule="auto"/>
        <w:jc w:val="both"/>
        <w:rPr>
          <w:b/>
          <w:lang w:val="sr-Cyrl-CS"/>
        </w:rPr>
      </w:pPr>
    </w:p>
    <w:p w14:paraId="69E2BE02" w14:textId="77777777" w:rsidR="007F44E0" w:rsidRDefault="007F44E0" w:rsidP="00AB05BE">
      <w:pPr>
        <w:autoSpaceDE w:val="0"/>
        <w:autoSpaceDN w:val="0"/>
        <w:adjustRightInd w:val="0"/>
        <w:spacing w:line="360" w:lineRule="auto"/>
        <w:jc w:val="both"/>
        <w:rPr>
          <w:b/>
          <w:lang w:val="sr-Cyrl-CS"/>
        </w:rPr>
      </w:pPr>
    </w:p>
    <w:p w14:paraId="3AA051CE" w14:textId="77777777" w:rsidR="007F44E0" w:rsidRDefault="007F44E0" w:rsidP="00AB05BE">
      <w:pPr>
        <w:autoSpaceDE w:val="0"/>
        <w:autoSpaceDN w:val="0"/>
        <w:adjustRightInd w:val="0"/>
        <w:spacing w:line="360" w:lineRule="auto"/>
        <w:jc w:val="both"/>
        <w:rPr>
          <w:b/>
          <w:lang w:val="sr-Cyrl-CS"/>
        </w:rPr>
      </w:pPr>
    </w:p>
    <w:p w14:paraId="336F2813" w14:textId="77777777" w:rsidR="007F44E0" w:rsidRDefault="007F44E0" w:rsidP="00AB05BE">
      <w:pPr>
        <w:autoSpaceDE w:val="0"/>
        <w:autoSpaceDN w:val="0"/>
        <w:adjustRightInd w:val="0"/>
        <w:spacing w:line="360" w:lineRule="auto"/>
        <w:jc w:val="both"/>
        <w:rPr>
          <w:b/>
          <w:lang w:val="sr-Cyrl-CS"/>
        </w:rPr>
      </w:pPr>
    </w:p>
    <w:p w14:paraId="4A612B61" w14:textId="77777777" w:rsidR="007F44E0" w:rsidRDefault="007F44E0" w:rsidP="00AB05BE">
      <w:pPr>
        <w:autoSpaceDE w:val="0"/>
        <w:autoSpaceDN w:val="0"/>
        <w:adjustRightInd w:val="0"/>
        <w:spacing w:line="360" w:lineRule="auto"/>
        <w:jc w:val="both"/>
        <w:rPr>
          <w:b/>
          <w:lang w:val="sr-Cyrl-CS"/>
        </w:rPr>
      </w:pPr>
    </w:p>
    <w:p w14:paraId="0CCA1736" w14:textId="77777777" w:rsidR="007F44E0" w:rsidRDefault="007F44E0" w:rsidP="00AB05BE">
      <w:pPr>
        <w:autoSpaceDE w:val="0"/>
        <w:autoSpaceDN w:val="0"/>
        <w:adjustRightInd w:val="0"/>
        <w:spacing w:line="360" w:lineRule="auto"/>
        <w:jc w:val="both"/>
        <w:rPr>
          <w:b/>
          <w:lang w:val="sr-Cyrl-CS"/>
        </w:rPr>
      </w:pPr>
      <w:r>
        <w:rPr>
          <w:b/>
          <w:noProof/>
        </w:rPr>
        <w:drawing>
          <wp:anchor distT="0" distB="0" distL="114300" distR="114300" simplePos="0" relativeHeight="251661312" behindDoc="0" locked="0" layoutInCell="1" allowOverlap="1" wp14:anchorId="538EC7C8" wp14:editId="2793267D">
            <wp:simplePos x="0" y="0"/>
            <wp:positionH relativeFrom="column">
              <wp:posOffset>576580</wp:posOffset>
            </wp:positionH>
            <wp:positionV relativeFrom="paragraph">
              <wp:posOffset>7620</wp:posOffset>
            </wp:positionV>
            <wp:extent cx="4449445" cy="2726690"/>
            <wp:effectExtent l="19050" t="0" r="825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4449445" cy="2726690"/>
                    </a:xfrm>
                    <a:prstGeom prst="rect">
                      <a:avLst/>
                    </a:prstGeom>
                    <a:noFill/>
                    <a:ln w="9525">
                      <a:noFill/>
                      <a:miter lim="800000"/>
                      <a:headEnd/>
                      <a:tailEnd/>
                    </a:ln>
                  </pic:spPr>
                </pic:pic>
              </a:graphicData>
            </a:graphic>
          </wp:anchor>
        </w:drawing>
      </w:r>
    </w:p>
    <w:p w14:paraId="3FE92678" w14:textId="77777777" w:rsidR="007F44E0" w:rsidRDefault="007F44E0" w:rsidP="00AB05BE">
      <w:pPr>
        <w:autoSpaceDE w:val="0"/>
        <w:autoSpaceDN w:val="0"/>
        <w:adjustRightInd w:val="0"/>
        <w:spacing w:line="360" w:lineRule="auto"/>
        <w:jc w:val="both"/>
        <w:rPr>
          <w:b/>
          <w:lang w:val="sr-Cyrl-CS"/>
        </w:rPr>
      </w:pPr>
    </w:p>
    <w:p w14:paraId="6E7597BE" w14:textId="77777777" w:rsidR="007F44E0" w:rsidRDefault="007F44E0" w:rsidP="00AB05BE">
      <w:pPr>
        <w:autoSpaceDE w:val="0"/>
        <w:autoSpaceDN w:val="0"/>
        <w:adjustRightInd w:val="0"/>
        <w:spacing w:line="360" w:lineRule="auto"/>
        <w:jc w:val="both"/>
        <w:rPr>
          <w:b/>
          <w:lang w:val="sr-Cyrl-CS"/>
        </w:rPr>
      </w:pPr>
    </w:p>
    <w:p w14:paraId="304B3F2C" w14:textId="77777777" w:rsidR="007F44E0" w:rsidRDefault="007F44E0" w:rsidP="00AB05BE">
      <w:pPr>
        <w:autoSpaceDE w:val="0"/>
        <w:autoSpaceDN w:val="0"/>
        <w:adjustRightInd w:val="0"/>
        <w:spacing w:line="360" w:lineRule="auto"/>
        <w:jc w:val="both"/>
        <w:rPr>
          <w:b/>
          <w:lang w:val="sr-Cyrl-CS"/>
        </w:rPr>
      </w:pPr>
    </w:p>
    <w:p w14:paraId="51C34B3B" w14:textId="77777777" w:rsidR="007F44E0" w:rsidRDefault="007F44E0" w:rsidP="00AB05BE">
      <w:pPr>
        <w:autoSpaceDE w:val="0"/>
        <w:autoSpaceDN w:val="0"/>
        <w:adjustRightInd w:val="0"/>
        <w:spacing w:line="360" w:lineRule="auto"/>
        <w:jc w:val="both"/>
        <w:rPr>
          <w:b/>
          <w:lang w:val="sr-Cyrl-CS"/>
        </w:rPr>
      </w:pPr>
    </w:p>
    <w:p w14:paraId="4C2A04E1" w14:textId="77777777" w:rsidR="007F44E0" w:rsidRDefault="007F44E0" w:rsidP="00AB05BE">
      <w:pPr>
        <w:autoSpaceDE w:val="0"/>
        <w:autoSpaceDN w:val="0"/>
        <w:adjustRightInd w:val="0"/>
        <w:spacing w:line="360" w:lineRule="auto"/>
        <w:jc w:val="both"/>
        <w:rPr>
          <w:b/>
          <w:lang w:val="sr-Cyrl-CS"/>
        </w:rPr>
      </w:pPr>
      <w:r>
        <w:rPr>
          <w:b/>
          <w:lang w:val="sr-Cyrl-CS"/>
        </w:rPr>
        <w:t xml:space="preserve">                                                          </w:t>
      </w:r>
    </w:p>
    <w:p w14:paraId="0309FB8A" w14:textId="77777777" w:rsidR="007F44E0" w:rsidRDefault="007F44E0" w:rsidP="00AB05BE">
      <w:pPr>
        <w:autoSpaceDE w:val="0"/>
        <w:autoSpaceDN w:val="0"/>
        <w:adjustRightInd w:val="0"/>
        <w:spacing w:line="360" w:lineRule="auto"/>
        <w:jc w:val="both"/>
        <w:rPr>
          <w:b/>
          <w:lang w:val="sr-Cyrl-CS"/>
        </w:rPr>
      </w:pPr>
    </w:p>
    <w:p w14:paraId="3103A1C5" w14:textId="77777777" w:rsidR="007F44E0" w:rsidRDefault="007F44E0" w:rsidP="00AB05BE">
      <w:pPr>
        <w:autoSpaceDE w:val="0"/>
        <w:autoSpaceDN w:val="0"/>
        <w:adjustRightInd w:val="0"/>
        <w:spacing w:line="360" w:lineRule="auto"/>
        <w:jc w:val="both"/>
        <w:rPr>
          <w:b/>
          <w:lang w:val="sr-Cyrl-CS"/>
        </w:rPr>
      </w:pPr>
    </w:p>
    <w:p w14:paraId="7361C4BA" w14:textId="77777777" w:rsidR="007F44E0" w:rsidRDefault="007F44E0" w:rsidP="00AB05BE">
      <w:pPr>
        <w:autoSpaceDE w:val="0"/>
        <w:autoSpaceDN w:val="0"/>
        <w:adjustRightInd w:val="0"/>
        <w:spacing w:line="360" w:lineRule="auto"/>
        <w:jc w:val="both"/>
        <w:rPr>
          <w:b/>
          <w:lang w:val="sr-Cyrl-CS"/>
        </w:rPr>
      </w:pPr>
    </w:p>
    <w:p w14:paraId="08C51354" w14:textId="77777777" w:rsidR="007F44E0" w:rsidRDefault="007F44E0" w:rsidP="00AB05BE">
      <w:pPr>
        <w:autoSpaceDE w:val="0"/>
        <w:autoSpaceDN w:val="0"/>
        <w:adjustRightInd w:val="0"/>
        <w:spacing w:line="360" w:lineRule="auto"/>
        <w:jc w:val="both"/>
        <w:rPr>
          <w:b/>
          <w:lang w:val="sr-Cyrl-CS"/>
        </w:rPr>
      </w:pPr>
    </w:p>
    <w:p w14:paraId="0B832575" w14:textId="77777777" w:rsidR="007F44E0" w:rsidRDefault="007F44E0" w:rsidP="00AB05BE">
      <w:pPr>
        <w:autoSpaceDE w:val="0"/>
        <w:autoSpaceDN w:val="0"/>
        <w:adjustRightInd w:val="0"/>
        <w:spacing w:line="360" w:lineRule="auto"/>
        <w:jc w:val="both"/>
        <w:rPr>
          <w:b/>
          <w:lang w:val="sr-Cyrl-CS"/>
        </w:rPr>
      </w:pPr>
    </w:p>
    <w:p w14:paraId="4140A5DD" w14:textId="77777777" w:rsidR="007F44E0" w:rsidRDefault="007F44E0" w:rsidP="00AB05BE">
      <w:pPr>
        <w:autoSpaceDE w:val="0"/>
        <w:autoSpaceDN w:val="0"/>
        <w:adjustRightInd w:val="0"/>
        <w:spacing w:line="360" w:lineRule="auto"/>
        <w:jc w:val="both"/>
        <w:rPr>
          <w:b/>
          <w:lang w:val="sr-Cyrl-CS"/>
        </w:rPr>
      </w:pPr>
    </w:p>
    <w:p w14:paraId="6827D724" w14:textId="77777777" w:rsidR="007F44E0" w:rsidRDefault="007F44E0" w:rsidP="00AB05BE">
      <w:pPr>
        <w:autoSpaceDE w:val="0"/>
        <w:autoSpaceDN w:val="0"/>
        <w:adjustRightInd w:val="0"/>
        <w:spacing w:line="360" w:lineRule="auto"/>
        <w:jc w:val="both"/>
        <w:rPr>
          <w:b/>
          <w:lang w:val="sr-Cyrl-CS"/>
        </w:rPr>
      </w:pPr>
    </w:p>
    <w:p w14:paraId="5B756155" w14:textId="77777777" w:rsidR="007F44E0" w:rsidRDefault="007F44E0" w:rsidP="00AB05BE">
      <w:pPr>
        <w:autoSpaceDE w:val="0"/>
        <w:autoSpaceDN w:val="0"/>
        <w:adjustRightInd w:val="0"/>
        <w:spacing w:line="360" w:lineRule="auto"/>
        <w:jc w:val="both"/>
        <w:rPr>
          <w:b/>
          <w:lang w:val="sr-Cyrl-CS"/>
        </w:rPr>
      </w:pPr>
    </w:p>
    <w:p w14:paraId="4123F13D" w14:textId="77777777" w:rsidR="007F44E0" w:rsidRDefault="007F44E0" w:rsidP="00AB05BE">
      <w:pPr>
        <w:autoSpaceDE w:val="0"/>
        <w:autoSpaceDN w:val="0"/>
        <w:adjustRightInd w:val="0"/>
        <w:spacing w:line="360" w:lineRule="auto"/>
        <w:jc w:val="both"/>
        <w:rPr>
          <w:b/>
          <w:lang w:val="sr-Cyrl-CS"/>
        </w:rPr>
      </w:pPr>
    </w:p>
    <w:p w14:paraId="1AEA9890" w14:textId="77777777" w:rsidR="007F44E0" w:rsidRDefault="007F44E0" w:rsidP="00AB05BE">
      <w:pPr>
        <w:autoSpaceDE w:val="0"/>
        <w:autoSpaceDN w:val="0"/>
        <w:adjustRightInd w:val="0"/>
        <w:spacing w:line="360" w:lineRule="auto"/>
        <w:jc w:val="both"/>
        <w:rPr>
          <w:b/>
          <w:lang w:val="sr-Cyrl-CS"/>
        </w:rPr>
      </w:pPr>
    </w:p>
    <w:p w14:paraId="34EB9944" w14:textId="77777777" w:rsidR="007F44E0" w:rsidRDefault="007F44E0" w:rsidP="00AB05BE">
      <w:pPr>
        <w:autoSpaceDE w:val="0"/>
        <w:autoSpaceDN w:val="0"/>
        <w:adjustRightInd w:val="0"/>
        <w:spacing w:line="360" w:lineRule="auto"/>
        <w:jc w:val="both"/>
        <w:rPr>
          <w:b/>
          <w:lang w:val="sr-Cyrl-CS"/>
        </w:rPr>
      </w:pPr>
    </w:p>
    <w:p w14:paraId="4D638E15" w14:textId="77777777" w:rsidR="007F44E0" w:rsidRPr="00A835F8" w:rsidRDefault="007F44E0" w:rsidP="00AB05BE">
      <w:pPr>
        <w:autoSpaceDE w:val="0"/>
        <w:autoSpaceDN w:val="0"/>
        <w:adjustRightInd w:val="0"/>
        <w:spacing w:line="360" w:lineRule="auto"/>
        <w:jc w:val="center"/>
        <w:rPr>
          <w:lang w:val="sr-Cyrl-CS"/>
        </w:rPr>
      </w:pPr>
      <w:r>
        <w:rPr>
          <w:lang w:val="sr-Cyrl-CS"/>
        </w:rPr>
        <w:t>picture 1</w:t>
      </w:r>
    </w:p>
    <w:p w14:paraId="7F4EA74C" w14:textId="77777777" w:rsidR="007F44E0" w:rsidRDefault="007F44E0" w:rsidP="00AB05BE">
      <w:pPr>
        <w:autoSpaceDE w:val="0"/>
        <w:autoSpaceDN w:val="0"/>
        <w:adjustRightInd w:val="0"/>
        <w:spacing w:line="360" w:lineRule="auto"/>
        <w:jc w:val="both"/>
        <w:rPr>
          <w:b/>
          <w:lang w:val="sr-Cyrl-CS"/>
        </w:rPr>
      </w:pPr>
    </w:p>
    <w:p w14:paraId="07750F7D" w14:textId="6EAEED69" w:rsidR="007F44E0" w:rsidRPr="006E2B77" w:rsidRDefault="007F44E0" w:rsidP="00AB05BE">
      <w:pPr>
        <w:autoSpaceDE w:val="0"/>
        <w:autoSpaceDN w:val="0"/>
        <w:adjustRightInd w:val="0"/>
        <w:spacing w:line="360" w:lineRule="auto"/>
        <w:jc w:val="both"/>
        <w:rPr>
          <w:sz w:val="20"/>
          <w:szCs w:val="20"/>
          <w:lang w:val="sr-Cyrl-CS"/>
        </w:rPr>
      </w:pPr>
      <w:r w:rsidRPr="002B2A4C">
        <w:rPr>
          <w:b/>
          <w:lang w:val="sr-Cyrl-CS"/>
        </w:rPr>
        <w:t>Cytokines</w:t>
      </w:r>
      <w:r w:rsidR="008B134F">
        <w:rPr>
          <w:b/>
        </w:rPr>
        <w:t xml:space="preserve"> </w:t>
      </w:r>
      <w:r w:rsidRPr="006E2B77">
        <w:rPr>
          <w:lang w:val="sr-Cyrl-CS"/>
        </w:rPr>
        <w:t xml:space="preserve">constitute a new generation of non-specific immunostimulatory agents and with the use of interferon-α (IFN-α) immunotherapy has been officially introduced into clinical practice. IFN has an antiproliferative effect on tumor cells, but also an immunomodulatory effect on various types of immune response. It is applied either as monotherapy in low, medium or high doses, in combination with other cytokines (most often IL-2) or as part of chemotherapy. The next most commonly used cytokine, IL-2, was approved in 1992 for the treatment of metastatic renal cell </w:t>
      </w:r>
      <w:r w:rsidRPr="006E2B77">
        <w:rPr>
          <w:lang w:val="sr-Cyrl-CS"/>
        </w:rPr>
        <w:lastRenderedPageBreak/>
        <w:t>carcinoma, and in 1998 for the treatment of metastatic melanoma. It is used for the production of LAK and TIL cells, but also independently, most often in combination with IFN, and recently in many tumors in combination with IL-12, passive mAt immunotherapy and chemotherapy. In high doses, IL-2 has a pronounced toxicity in the form of hemodynamic disturbances and for these reasons, doses are reduced to ultra-low, and the application is reduced to sc administration. Despite the fact that it can lead to tumor necrosis, TNF-α is used in isolated perfusion of extremities affected by sarcomas or melanoma, because it exhibits high toxicity in systemic therapy.</w:t>
      </w:r>
    </w:p>
    <w:p w14:paraId="30DFF212" w14:textId="77777777" w:rsidR="007F44E0" w:rsidRDefault="007F44E0" w:rsidP="00AB05BE">
      <w:pPr>
        <w:autoSpaceDE w:val="0"/>
        <w:autoSpaceDN w:val="0"/>
        <w:adjustRightInd w:val="0"/>
        <w:spacing w:line="360" w:lineRule="auto"/>
        <w:jc w:val="both"/>
        <w:rPr>
          <w:lang w:val="sr-Cyrl-CS"/>
        </w:rPr>
      </w:pPr>
    </w:p>
    <w:p w14:paraId="15AA0131" w14:textId="77777777" w:rsidR="008B134F" w:rsidRDefault="008B134F" w:rsidP="00AB05BE">
      <w:pPr>
        <w:spacing w:line="360" w:lineRule="auto"/>
        <w:jc w:val="center"/>
        <w:rPr>
          <w:b/>
          <w:sz w:val="28"/>
          <w:szCs w:val="28"/>
        </w:rPr>
      </w:pPr>
    </w:p>
    <w:p w14:paraId="2FA9586C" w14:textId="77777777" w:rsidR="008B134F" w:rsidRDefault="008B134F" w:rsidP="00AB05BE">
      <w:pPr>
        <w:spacing w:line="360" w:lineRule="auto"/>
        <w:jc w:val="center"/>
        <w:rPr>
          <w:b/>
          <w:sz w:val="28"/>
          <w:szCs w:val="28"/>
        </w:rPr>
      </w:pPr>
    </w:p>
    <w:p w14:paraId="5CB7F4E5" w14:textId="77777777" w:rsidR="008B134F" w:rsidRDefault="008B134F" w:rsidP="00AB05BE">
      <w:pPr>
        <w:spacing w:line="360" w:lineRule="auto"/>
        <w:jc w:val="center"/>
        <w:rPr>
          <w:b/>
          <w:sz w:val="28"/>
          <w:szCs w:val="28"/>
        </w:rPr>
      </w:pPr>
    </w:p>
    <w:p w14:paraId="2372D417" w14:textId="77777777" w:rsidR="008B134F" w:rsidRDefault="008B134F" w:rsidP="00AB05BE">
      <w:pPr>
        <w:spacing w:line="360" w:lineRule="auto"/>
        <w:jc w:val="center"/>
        <w:rPr>
          <w:b/>
          <w:sz w:val="28"/>
          <w:szCs w:val="28"/>
        </w:rPr>
      </w:pPr>
    </w:p>
    <w:p w14:paraId="1DB5FC3C" w14:textId="77777777" w:rsidR="008B134F" w:rsidRDefault="008B134F" w:rsidP="00AB05BE">
      <w:pPr>
        <w:spacing w:line="360" w:lineRule="auto"/>
        <w:jc w:val="center"/>
        <w:rPr>
          <w:b/>
          <w:sz w:val="28"/>
          <w:szCs w:val="28"/>
        </w:rPr>
      </w:pPr>
    </w:p>
    <w:p w14:paraId="5E108DE2" w14:textId="77777777" w:rsidR="008B134F" w:rsidRDefault="008B134F" w:rsidP="00AB05BE">
      <w:pPr>
        <w:spacing w:line="360" w:lineRule="auto"/>
        <w:jc w:val="center"/>
        <w:rPr>
          <w:b/>
          <w:sz w:val="28"/>
          <w:szCs w:val="28"/>
        </w:rPr>
      </w:pPr>
    </w:p>
    <w:p w14:paraId="1A567734" w14:textId="699A4331" w:rsidR="007F44E0" w:rsidRPr="007F44E0" w:rsidRDefault="007F44E0" w:rsidP="00AB05BE">
      <w:pPr>
        <w:spacing w:line="360" w:lineRule="auto"/>
        <w:jc w:val="center"/>
        <w:rPr>
          <w:b/>
          <w:sz w:val="28"/>
          <w:szCs w:val="28"/>
          <w:lang w:val="sr-Cyrl-CS"/>
        </w:rPr>
      </w:pPr>
      <w:r w:rsidRPr="007F44E0">
        <w:rPr>
          <w:b/>
          <w:sz w:val="28"/>
          <w:szCs w:val="28"/>
          <w:lang w:val="sr-Cyrl-CS"/>
        </w:rPr>
        <w:t>Specific immunotherapy</w:t>
      </w:r>
    </w:p>
    <w:p w14:paraId="0227D77E" w14:textId="77777777" w:rsidR="007F44E0" w:rsidRDefault="007F44E0" w:rsidP="00AB05BE">
      <w:pPr>
        <w:spacing w:line="360" w:lineRule="auto"/>
        <w:jc w:val="both"/>
        <w:rPr>
          <w:lang w:val="sr-Cyrl-CS"/>
        </w:rPr>
      </w:pPr>
    </w:p>
    <w:p w14:paraId="4D82A8D5" w14:textId="77777777" w:rsidR="007F44E0" w:rsidRDefault="007F44E0" w:rsidP="00AB05BE">
      <w:pPr>
        <w:autoSpaceDE w:val="0"/>
        <w:autoSpaceDN w:val="0"/>
        <w:adjustRightInd w:val="0"/>
        <w:spacing w:line="360" w:lineRule="auto"/>
        <w:rPr>
          <w:b/>
          <w:bCs/>
          <w:lang w:val="sr-Cyrl-CS"/>
        </w:rPr>
      </w:pPr>
    </w:p>
    <w:p w14:paraId="2893C5BB" w14:textId="77777777" w:rsidR="007F44E0" w:rsidRDefault="007F44E0" w:rsidP="00AB05BE">
      <w:pPr>
        <w:autoSpaceDE w:val="0"/>
        <w:autoSpaceDN w:val="0"/>
        <w:adjustRightInd w:val="0"/>
        <w:spacing w:line="360" w:lineRule="auto"/>
        <w:rPr>
          <w:b/>
          <w:bCs/>
          <w:lang w:val="sr-Cyrl-CS"/>
        </w:rPr>
      </w:pPr>
      <w:r w:rsidRPr="00AC50A1">
        <w:rPr>
          <w:b/>
          <w:bCs/>
          <w:lang w:val="sr-Cyrl-CS"/>
        </w:rPr>
        <w:t>Passive immunotherapy</w:t>
      </w:r>
    </w:p>
    <w:p w14:paraId="481552F3" w14:textId="77777777" w:rsidR="007F44E0" w:rsidRPr="00AC50A1" w:rsidRDefault="007F44E0" w:rsidP="00AB05BE">
      <w:pPr>
        <w:autoSpaceDE w:val="0"/>
        <w:autoSpaceDN w:val="0"/>
        <w:adjustRightInd w:val="0"/>
        <w:spacing w:line="360" w:lineRule="auto"/>
        <w:ind w:firstLine="720"/>
        <w:rPr>
          <w:b/>
          <w:bCs/>
          <w:lang w:val="sr-Cyrl-CS"/>
        </w:rPr>
      </w:pPr>
    </w:p>
    <w:p w14:paraId="751C2112" w14:textId="77777777" w:rsidR="007F44E0" w:rsidRPr="007F44E0" w:rsidRDefault="007F44E0" w:rsidP="00AB05BE">
      <w:pPr>
        <w:autoSpaceDE w:val="0"/>
        <w:autoSpaceDN w:val="0"/>
        <w:adjustRightInd w:val="0"/>
        <w:spacing w:line="360" w:lineRule="auto"/>
        <w:rPr>
          <w:b/>
          <w:bCs/>
          <w:i/>
          <w:lang w:val="sr-Cyrl-CS"/>
        </w:rPr>
      </w:pPr>
      <w:r w:rsidRPr="007F44E0">
        <w:rPr>
          <w:b/>
          <w:bCs/>
          <w:i/>
          <w:lang w:val="sr-Cyrl-CS"/>
        </w:rPr>
        <w:t>Antibodies</w:t>
      </w:r>
    </w:p>
    <w:p w14:paraId="532DA5DA" w14:textId="77777777" w:rsidR="00220F49" w:rsidRDefault="007F44E0" w:rsidP="00AB05BE">
      <w:pPr>
        <w:autoSpaceDE w:val="0"/>
        <w:autoSpaceDN w:val="0"/>
        <w:adjustRightInd w:val="0"/>
        <w:spacing w:line="360" w:lineRule="auto"/>
        <w:jc w:val="both"/>
      </w:pPr>
      <w:r w:rsidRPr="00AC50A1">
        <w:rPr>
          <w:lang w:val="sr-Cyrl-CS"/>
        </w:rPr>
        <w:t>Although antibodies can react specifically with tumor cell antigens, their effectiveness in eliminating the target cell depends on other host effector mechanisms (phagocytosis and activation of the complement system).</w:t>
      </w:r>
    </w:p>
    <w:p w14:paraId="19406ED8" w14:textId="77777777" w:rsidR="00220F49" w:rsidRDefault="00220F49" w:rsidP="00AB05BE">
      <w:pPr>
        <w:autoSpaceDE w:val="0"/>
        <w:autoSpaceDN w:val="0"/>
        <w:adjustRightInd w:val="0"/>
        <w:spacing w:line="360" w:lineRule="auto"/>
        <w:jc w:val="both"/>
      </w:pPr>
      <w:r>
        <w:t>In the immune response to a single antigen, a mixture of different antibodies is present in the plasma, produced by different clones of B lymphocytes in response to different parts (epitopes) of the antigen, so-called polyclonal antibodies.</w:t>
      </w:r>
    </w:p>
    <w:p w14:paraId="57E9155B" w14:textId="77777777" w:rsidR="00220F49" w:rsidRDefault="00220F49" w:rsidP="00AB05BE">
      <w:pPr>
        <w:spacing w:line="360" w:lineRule="auto"/>
        <w:jc w:val="both"/>
      </w:pPr>
      <w:r>
        <w:rPr>
          <w:noProof/>
        </w:rPr>
        <w:lastRenderedPageBreak/>
        <w:drawing>
          <wp:anchor distT="0" distB="0" distL="114300" distR="114300" simplePos="0" relativeHeight="251663360" behindDoc="0" locked="0" layoutInCell="1" allowOverlap="1" wp14:anchorId="5338534A" wp14:editId="32E01B78">
            <wp:simplePos x="0" y="0"/>
            <wp:positionH relativeFrom="column">
              <wp:posOffset>3200400</wp:posOffset>
            </wp:positionH>
            <wp:positionV relativeFrom="paragraph">
              <wp:posOffset>123190</wp:posOffset>
            </wp:positionV>
            <wp:extent cx="2476500" cy="1857375"/>
            <wp:effectExtent l="19050" t="0" r="0" b="0"/>
            <wp:wrapSquare wrapText="bothSides"/>
            <wp:docPr id="1" name="Picture 2" descr="FullyHuman M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ullyHuman MAb"/>
                    <pic:cNvPicPr>
                      <a:picLocks noChangeAspect="1" noChangeArrowheads="1"/>
                    </pic:cNvPicPr>
                  </pic:nvPicPr>
                  <pic:blipFill>
                    <a:blip r:embed="rId6" cstate="print"/>
                    <a:srcRect/>
                    <a:stretch>
                      <a:fillRect/>
                    </a:stretch>
                  </pic:blipFill>
                  <pic:spPr bwMode="auto">
                    <a:xfrm>
                      <a:off x="0" y="0"/>
                      <a:ext cx="2476500" cy="1857375"/>
                    </a:xfrm>
                    <a:prstGeom prst="rect">
                      <a:avLst/>
                    </a:prstGeom>
                    <a:noFill/>
                    <a:ln w="9525">
                      <a:noFill/>
                      <a:miter lim="800000"/>
                      <a:headEnd/>
                      <a:tailEnd/>
                    </a:ln>
                  </pic:spPr>
                </pic:pic>
              </a:graphicData>
            </a:graphic>
          </wp:anchor>
        </w:drawing>
      </w:r>
      <w:r>
        <w:t>Patients with multiple myeloma, a monoclonal plasma cell tumor, produce large amounts of biochemically identical antibodies. The antibodies are produced by neoplastic clones, are present in the blood and urine, and are called monoclonal antibodies. The discovery that multiple myeloma cells produce monoclonal immunoglobulins served as the basis for the technique for producing monoclonal antibodies. The technique for obtaining monoclonal antibodies, or "magic bullets", was first introduced by Georges Kohler and Cesar Milstein in 1975. They developed a method for immortalizing individual antibody-secreting cells by creating hybridomas, each of which secretes a distinct monoclonal antibody of predetermined specificity. This technique remains the most common approach to producing monoclonal antibodies today.</w:t>
      </w:r>
    </w:p>
    <w:p w14:paraId="23E52970" w14:textId="77777777" w:rsidR="00220F49" w:rsidRDefault="00220F49" w:rsidP="00AB05BE">
      <w:pPr>
        <w:spacing w:line="360" w:lineRule="auto"/>
        <w:jc w:val="both"/>
      </w:pPr>
      <w:r>
        <w:t>The technique is based on the fact that each B lymphocyte secretes a specific antibody. Since B lymphocytes have a limited lifespan, it is necessary to immortalize the cells that produce the specific antibody. This is achieved by fusing cells - cell fusion - hybridization, namely a normal B lymphocyte that produces the antibody and multiple myeloma cells. The fusion is followed by selection of the newly formed cells that secrete antibodies according to the desired specificity. The cell line of immortal B lymphocytes that produces the desired antibody is thus obtained is called a hybrid, and the antibodies that they produce are called monoclonal antibodies.</w:t>
      </w:r>
    </w:p>
    <w:p w14:paraId="29737E50" w14:textId="77777777" w:rsidR="00220F49" w:rsidRDefault="00220F49" w:rsidP="00AB05BE">
      <w:pPr>
        <w:spacing w:line="360" w:lineRule="auto"/>
        <w:ind w:left="360"/>
        <w:jc w:val="both"/>
      </w:pPr>
    </w:p>
    <w:p w14:paraId="4EC1879F" w14:textId="77777777" w:rsidR="00220F49" w:rsidRDefault="00220F49" w:rsidP="00AB05BE">
      <w:pPr>
        <w:spacing w:line="360" w:lineRule="auto"/>
        <w:ind w:left="360"/>
        <w:jc w:val="both"/>
      </w:pPr>
    </w:p>
    <w:p w14:paraId="717CC051" w14:textId="77777777" w:rsidR="00220F49" w:rsidRDefault="00220F49" w:rsidP="00AB05BE">
      <w:pPr>
        <w:spacing w:line="360" w:lineRule="auto"/>
        <w:ind w:left="360"/>
        <w:jc w:val="both"/>
      </w:pPr>
      <w:r>
        <w:t>Monoclonal antibodies affect tumor growth.</w:t>
      </w:r>
    </w:p>
    <w:p w14:paraId="59EAD04C" w14:textId="77777777" w:rsidR="00220F49" w:rsidRDefault="00220F49" w:rsidP="00AB05BE">
      <w:pPr>
        <w:spacing w:line="360" w:lineRule="auto"/>
        <w:ind w:left="360"/>
        <w:jc w:val="both"/>
      </w:pPr>
      <w:r>
        <w:rPr>
          <w:noProof/>
        </w:rPr>
        <w:lastRenderedPageBreak/>
        <w:drawing>
          <wp:inline distT="0" distB="0" distL="0" distR="0" wp14:anchorId="5A8A9F69" wp14:editId="131270AA">
            <wp:extent cx="5335270" cy="3562350"/>
            <wp:effectExtent l="19050" t="0" r="0" b="0"/>
            <wp:docPr id="4" name="Picture 1" descr="nm0400_373_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m0400_373_F1"/>
                    <pic:cNvPicPr>
                      <a:picLocks noChangeAspect="1" noChangeArrowheads="1"/>
                    </pic:cNvPicPr>
                  </pic:nvPicPr>
                  <pic:blipFill>
                    <a:blip r:embed="rId7" cstate="print"/>
                    <a:srcRect/>
                    <a:stretch>
                      <a:fillRect/>
                    </a:stretch>
                  </pic:blipFill>
                  <pic:spPr bwMode="auto">
                    <a:xfrm>
                      <a:off x="0" y="0"/>
                      <a:ext cx="5335270" cy="3562350"/>
                    </a:xfrm>
                    <a:prstGeom prst="rect">
                      <a:avLst/>
                    </a:prstGeom>
                    <a:noFill/>
                    <a:ln w="9525">
                      <a:noFill/>
                      <a:miter lim="800000"/>
                      <a:headEnd/>
                      <a:tailEnd/>
                    </a:ln>
                  </pic:spPr>
                </pic:pic>
              </a:graphicData>
            </a:graphic>
          </wp:inline>
        </w:drawing>
      </w:r>
    </w:p>
    <w:p w14:paraId="2045CA9A" w14:textId="77777777" w:rsidR="00220F49" w:rsidRDefault="00220F49" w:rsidP="00AB05BE">
      <w:pPr>
        <w:spacing w:line="360" w:lineRule="auto"/>
        <w:ind w:left="360"/>
        <w:jc w:val="both"/>
      </w:pPr>
    </w:p>
    <w:p w14:paraId="307A4B5D" w14:textId="77777777" w:rsidR="00220F49" w:rsidRDefault="00220F49" w:rsidP="00AB05BE">
      <w:pPr>
        <w:spacing w:line="360" w:lineRule="auto"/>
        <w:ind w:left="360"/>
        <w:jc w:val="both"/>
      </w:pPr>
      <w:r>
        <w:t>Monoclonal antibodies recognize antigens on non-target cells, in this case tumor cells.</w:t>
      </w:r>
    </w:p>
    <w:p w14:paraId="5EAA0B52" w14:textId="77777777" w:rsidR="00220F49" w:rsidRDefault="00220F49" w:rsidP="00AB05BE">
      <w:pPr>
        <w:spacing w:line="360" w:lineRule="auto"/>
        <w:ind w:left="360"/>
        <w:jc w:val="both"/>
      </w:pPr>
      <w:r>
        <w:t>1. They bind to antigens and activate complement components (small rings between two antibody molecules), which leads to opsonization of tumor cells by phagocytes expressing complement receptors (orange semicircles), lysis of tumor cells and an inflammatory reaction accompanied by the accumulation of inflammatory cells.</w:t>
      </w:r>
    </w:p>
    <w:p w14:paraId="3C812F24" w14:textId="77777777" w:rsidR="00220F49" w:rsidRDefault="00220F49" w:rsidP="00AB05BE">
      <w:pPr>
        <w:spacing w:line="360" w:lineRule="auto"/>
        <w:ind w:left="360"/>
        <w:jc w:val="both"/>
      </w:pPr>
      <w:r>
        <w:t>2. Monoclonal antibodies bind to activating Fc receptors on effector cells, leading to antibody-dependent cellular cytotoxicity (ADCC) or cytokine release.</w:t>
      </w:r>
    </w:p>
    <w:p w14:paraId="42FA5690" w14:textId="77777777" w:rsidR="00220F49" w:rsidRDefault="00220F49" w:rsidP="00AB05BE">
      <w:pPr>
        <w:spacing w:line="360" w:lineRule="auto"/>
        <w:ind w:left="360"/>
        <w:jc w:val="both"/>
      </w:pPr>
      <w:r>
        <w:t>3. Monoclonal antibodies bind to inhibitory Fc receptors (or both activating and inhibitory), thereby inhibiting the activation of effector cells.</w:t>
      </w:r>
    </w:p>
    <w:p w14:paraId="18D7AE07" w14:textId="77777777" w:rsidR="00220F49" w:rsidRDefault="00220F49" w:rsidP="00AB05BE">
      <w:pPr>
        <w:spacing w:line="360" w:lineRule="auto"/>
        <w:ind w:left="360"/>
        <w:jc w:val="both"/>
      </w:pPr>
      <w:r>
        <w:t>4. Monoclonal antibodies bind directly to growth factor receptors or other signaling molecules on tumor cells, leading to cell death.</w:t>
      </w:r>
    </w:p>
    <w:p w14:paraId="253C029C" w14:textId="77777777" w:rsidR="007F44E0" w:rsidRDefault="007F44E0" w:rsidP="00AB05BE">
      <w:pPr>
        <w:autoSpaceDE w:val="0"/>
        <w:autoSpaceDN w:val="0"/>
        <w:adjustRightInd w:val="0"/>
        <w:spacing w:line="360" w:lineRule="auto"/>
        <w:jc w:val="both"/>
        <w:rPr>
          <w:lang w:val="sr-Cyrl-CS"/>
        </w:rPr>
      </w:pPr>
      <w:r>
        <w:rPr>
          <w:lang w:val="sr-Cyrl-CS"/>
        </w:rPr>
        <w:t xml:space="preserve">The use of monoclonal antibodies, specific for oncogenic products that are expressed at high levels in some tumors, has shown success and has been approved for clinical use. In order to increase the effectiveness of antitumor antibodies (given that mouse monoclonal antibodies are usually used), humanized antibodies are used: hybrid antibodies that have retained antigen specificity, but have other characteristics of human antibodies. They are obtained by inserting a DNA segment that </w:t>
      </w:r>
      <w:r>
        <w:rPr>
          <w:lang w:val="sr-Cyrl-CS"/>
        </w:rPr>
        <w:lastRenderedPageBreak/>
        <w:t>encodes the antigen-binding sites on mouse monoclonal antibodies into cDNA derived from human myeloma cells. Therefore, it does not behave as foreign in the human body and does not cause an anti-antibody reaction, which reduces the usefulness of monoclonal antibodies derived from mice. In order to increase their cytotoxicity, radioactive isotopes, cytotoxic drugs or toxins are attached to the antibodies. As a rule, a large tumor mass with increased interstitial fluid pressure, the presence of a basement membrane, and tight junctions between cells make it difficult for antibodies to reach target cells.</w:t>
      </w:r>
    </w:p>
    <w:p w14:paraId="0A3CD9C4" w14:textId="77777777" w:rsidR="007F44E0" w:rsidRPr="00043DC5" w:rsidRDefault="00043DC5" w:rsidP="00AB05BE">
      <w:pPr>
        <w:autoSpaceDE w:val="0"/>
        <w:autoSpaceDN w:val="0"/>
        <w:adjustRightInd w:val="0"/>
        <w:spacing w:line="360" w:lineRule="auto"/>
        <w:jc w:val="both"/>
      </w:pPr>
      <w:r>
        <w:rPr>
          <w:lang w:val="sr-Cyrl-CS"/>
        </w:rPr>
        <w:t>Antibodies specific for the CD20 molecule expressed on V lymphocytes are used to treat V lymphocyte tumors, usually in combination with chemotherapy. Since the CD20 molecule is not expressed on hematopoietic stem cells, normal V lymphocytes are restored after treatment with this antibody is completed. Other monoclonal antibodies used in the therapy of malignant tumors can block growth factor signaling (e.g., anti-Her/Neu for breast tumors) or inhibit angiogenesis (e.g., antibodies against vascular endothelial growth factor for colon tumors and other tumors).</w:t>
      </w:r>
    </w:p>
    <w:p w14:paraId="5B7AE56E" w14:textId="77777777" w:rsidR="007F44E0" w:rsidRDefault="007F44E0" w:rsidP="00AB05BE">
      <w:pPr>
        <w:autoSpaceDE w:val="0"/>
        <w:autoSpaceDN w:val="0"/>
        <w:adjustRightInd w:val="0"/>
        <w:spacing w:line="360" w:lineRule="auto"/>
        <w:rPr>
          <w:b/>
          <w:lang w:val="sr-Cyrl-CS"/>
        </w:rPr>
      </w:pPr>
    </w:p>
    <w:p w14:paraId="14C093C4" w14:textId="77777777" w:rsidR="007F44E0" w:rsidRDefault="007F44E0" w:rsidP="00AB05BE">
      <w:pPr>
        <w:spacing w:line="360" w:lineRule="auto"/>
        <w:jc w:val="both"/>
        <w:rPr>
          <w:b/>
          <w:lang w:val="sr-Cyrl-CS"/>
        </w:rPr>
      </w:pPr>
    </w:p>
    <w:p w14:paraId="3AF181C6" w14:textId="77777777" w:rsidR="007F44E0" w:rsidRDefault="007F44E0" w:rsidP="00AB05BE">
      <w:pPr>
        <w:spacing w:line="360" w:lineRule="auto"/>
        <w:jc w:val="both"/>
        <w:rPr>
          <w:lang w:val="sr-Cyrl-CS"/>
        </w:rPr>
      </w:pPr>
      <w:r w:rsidRPr="000360A1">
        <w:rPr>
          <w:b/>
          <w:lang w:val="sr-Cyrl-CS"/>
        </w:rPr>
        <w:t>Active immunotherapy</w:t>
      </w:r>
    </w:p>
    <w:p w14:paraId="5E0C4BEA" w14:textId="77777777" w:rsidR="007F44E0" w:rsidRDefault="007F44E0" w:rsidP="00AB05BE">
      <w:pPr>
        <w:spacing w:line="360" w:lineRule="auto"/>
        <w:ind w:firstLine="720"/>
        <w:jc w:val="both"/>
        <w:rPr>
          <w:lang w:val="sr-Cyrl-CS"/>
        </w:rPr>
      </w:pPr>
    </w:p>
    <w:p w14:paraId="18C938AF" w14:textId="77777777" w:rsidR="007F44E0" w:rsidRPr="001F7235" w:rsidRDefault="007F44E0" w:rsidP="00AB05BE">
      <w:pPr>
        <w:autoSpaceDE w:val="0"/>
        <w:autoSpaceDN w:val="0"/>
        <w:adjustRightInd w:val="0"/>
        <w:spacing w:line="360" w:lineRule="auto"/>
        <w:jc w:val="both"/>
        <w:rPr>
          <w:lang w:val="sr-Cyrl-CS"/>
        </w:rPr>
      </w:pPr>
      <w:r w:rsidRPr="00412830">
        <w:rPr>
          <w:lang w:val="sr-Cyrl-CS"/>
        </w:rPr>
        <w:t>Passive tumor immunotherapy has not yielded satisfactory results, and therefore intensive work is being done on attempts to actively immunize the host against tumors. However, it should not be forgotten that the success of these attempts depends on the preservation of the host immune system, on the one hand, and the ability of the tumor cell used as a vaccine to express a series of different gene products, on the other, while for passive immunotherapy the only condition is that the tumor cells express the appropriate target antigen. The goal of active tumor immunotherapy is to induce an immune response to the tumor that would prevent further growth and eliminate tumor cells. The identification of tumor antigens that induce an immune response allows a new approach in tumor immunotherapy. There are several categories of changes in the genetic material of the tumor cell with a consequent increase in immunogenicity. The first category includes those procedures that make presentation more efficient, the second includes those that enhance costimulation, and the third category aims to create conditions for better recognition of tumor antigens, more efficient activation and expression of the effector function of immune system cells by modifying the tumor cell microenvironment.</w:t>
      </w:r>
    </w:p>
    <w:p w14:paraId="7A9061E5" w14:textId="77777777" w:rsidR="007F44E0" w:rsidRDefault="007F44E0" w:rsidP="00AB05BE">
      <w:pPr>
        <w:pStyle w:val="Default"/>
        <w:spacing w:line="360" w:lineRule="auto"/>
        <w:jc w:val="both"/>
        <w:rPr>
          <w:rFonts w:ascii="Times New Roman" w:hAnsi="Times New Roman" w:cs="Times New Roman"/>
          <w:b/>
          <w:color w:val="auto"/>
          <w:lang w:val="sr-Cyrl-CS"/>
        </w:rPr>
      </w:pPr>
    </w:p>
    <w:p w14:paraId="1008839B" w14:textId="77777777" w:rsidR="007F44E0" w:rsidRPr="00BA6656" w:rsidRDefault="007F44E0" w:rsidP="00AB05BE">
      <w:pPr>
        <w:pStyle w:val="Default"/>
        <w:spacing w:line="360" w:lineRule="auto"/>
        <w:jc w:val="both"/>
        <w:rPr>
          <w:rFonts w:ascii="Times New Roman" w:hAnsi="Times New Roman" w:cs="Times New Roman"/>
          <w:b/>
          <w:color w:val="auto"/>
          <w:lang w:val="sr-Cyrl-CS"/>
        </w:rPr>
      </w:pPr>
      <w:r w:rsidRPr="00BA6656">
        <w:rPr>
          <w:rFonts w:ascii="Times New Roman" w:hAnsi="Times New Roman" w:cs="Times New Roman"/>
          <w:b/>
          <w:color w:val="auto"/>
          <w:lang w:val="sr-Cyrl-CS"/>
        </w:rPr>
        <w:t>Vaccination</w:t>
      </w:r>
    </w:p>
    <w:p w14:paraId="31AD9D10" w14:textId="77777777" w:rsidR="007F44E0" w:rsidRDefault="007F44E0" w:rsidP="00AB05BE">
      <w:pPr>
        <w:pStyle w:val="Default"/>
        <w:spacing w:line="360" w:lineRule="auto"/>
        <w:jc w:val="both"/>
        <w:rPr>
          <w:rFonts w:ascii="Times New Roman" w:hAnsi="Times New Roman" w:cs="Times New Roman"/>
          <w:color w:val="auto"/>
          <w:lang w:val="sr-Cyrl-CS"/>
        </w:rPr>
      </w:pPr>
      <w:r>
        <w:rPr>
          <w:rFonts w:ascii="Times New Roman" w:hAnsi="Times New Roman" w:cs="Times New Roman"/>
          <w:lang w:val="sr-Cyrl-CS"/>
        </w:rPr>
        <w:t>Vaccination with tumor cells and tumor antigens can result in enhanced immune responses against tumors.</w:t>
      </w:r>
      <w:r w:rsidRPr="004D7E4B">
        <w:rPr>
          <w:rFonts w:ascii="Times New Roman" w:hAnsi="Times New Roman" w:cs="Times New Roman"/>
          <w:color w:val="auto"/>
          <w:lang w:val="sr-Cyrl-CS"/>
        </w:rPr>
        <w:t>Vaccines are composed of either killed tumor cells or tumor antigens. Vaccination with tumor cells and tumor antigens can result in enhanced immune responses against tumors. Attempts are underway to immunize cancer patients with purified dendritic cells, either incubated with tumor cells or transfected with genes encoding these antigens and injected with plasmids containing cDNAs encoding tumor antigens. This is the best way to activate CTLs.</w:t>
      </w:r>
    </w:p>
    <w:p w14:paraId="6C6F3ACA" w14:textId="77777777" w:rsidR="007F44E0" w:rsidRDefault="007F44E0" w:rsidP="00AB05BE">
      <w:pPr>
        <w:spacing w:line="360" w:lineRule="auto"/>
        <w:jc w:val="both"/>
        <w:rPr>
          <w:lang w:val="sr-Cyrl-CS"/>
        </w:rPr>
      </w:pPr>
      <w:r w:rsidRPr="00BA6656">
        <w:rPr>
          <w:lang w:val="sr-Cyrl-CS"/>
        </w:rPr>
        <w:t>Cell-based and DNA vaccines are the best ways to induce CTL responses, however, a limitation of vaccine treatment is that they should be therapeutic, not just preventive, and it is often very difficult to induce a strong and sufficient immune response to eradicate all cells of a growing tumor. The development of virus-induced tumors can be prevented by vaccination with viral antigens or live attenuated viruses. This approach has been successful in humans in a routine hepatitis B vaccination program, which may reduce the incidence of hepatocellular carcinoma.</w:t>
      </w:r>
    </w:p>
    <w:p w14:paraId="022F3845" w14:textId="77777777" w:rsidR="00081282" w:rsidRDefault="00081282" w:rsidP="00AB05BE">
      <w:pPr>
        <w:spacing w:line="360" w:lineRule="auto"/>
        <w:jc w:val="both"/>
        <w:rPr>
          <w:lang w:val="sr-Cyrl-CS"/>
        </w:rPr>
      </w:pPr>
    </w:p>
    <w:p w14:paraId="688E5D4C" w14:textId="77777777" w:rsidR="00043DC5" w:rsidRPr="00BA6656" w:rsidRDefault="00081282" w:rsidP="00AB05BE">
      <w:pPr>
        <w:spacing w:line="360" w:lineRule="auto"/>
        <w:jc w:val="both"/>
        <w:rPr>
          <w:lang w:val="sr-Cyrl-CS"/>
        </w:rPr>
      </w:pPr>
      <w:r>
        <w:rPr>
          <w:lang w:val="sr-Cyrl-CS"/>
        </w:rPr>
        <w:t>Additional literature: Abul Abbas. Basic immunology. Immunotherapy of malignant tumors. pp. 216-219.</w:t>
      </w:r>
    </w:p>
    <w:p w14:paraId="389E0939" w14:textId="77777777" w:rsidR="002E06F1" w:rsidRDefault="002E06F1" w:rsidP="00AB05BE">
      <w:pPr>
        <w:spacing w:line="360" w:lineRule="auto"/>
      </w:pPr>
    </w:p>
    <w:sectPr w:rsidR="002E06F1" w:rsidSect="002E06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7066D5"/>
    <w:multiLevelType w:val="hybridMultilevel"/>
    <w:tmpl w:val="858A6536"/>
    <w:lvl w:ilvl="0" w:tplc="4F5AB928">
      <w:start w:val="1"/>
      <w:numFmt w:val="bullet"/>
      <w:lvlText w:val=""/>
      <w:lvlJc w:val="left"/>
      <w:pPr>
        <w:tabs>
          <w:tab w:val="num" w:pos="720"/>
        </w:tabs>
        <w:ind w:left="720" w:hanging="360"/>
      </w:pPr>
      <w:rPr>
        <w:rFonts w:ascii="Wingdings" w:hAnsi="Wingdings" w:hint="default"/>
      </w:rPr>
    </w:lvl>
    <w:lvl w:ilvl="1" w:tplc="DBEEBFDA" w:tentative="1">
      <w:start w:val="1"/>
      <w:numFmt w:val="bullet"/>
      <w:lvlText w:val=""/>
      <w:lvlJc w:val="left"/>
      <w:pPr>
        <w:tabs>
          <w:tab w:val="num" w:pos="1440"/>
        </w:tabs>
        <w:ind w:left="1440" w:hanging="360"/>
      </w:pPr>
      <w:rPr>
        <w:rFonts w:ascii="Wingdings" w:hAnsi="Wingdings" w:hint="default"/>
      </w:rPr>
    </w:lvl>
    <w:lvl w:ilvl="2" w:tplc="90A463E0" w:tentative="1">
      <w:start w:val="1"/>
      <w:numFmt w:val="bullet"/>
      <w:lvlText w:val=""/>
      <w:lvlJc w:val="left"/>
      <w:pPr>
        <w:tabs>
          <w:tab w:val="num" w:pos="2160"/>
        </w:tabs>
        <w:ind w:left="2160" w:hanging="360"/>
      </w:pPr>
      <w:rPr>
        <w:rFonts w:ascii="Wingdings" w:hAnsi="Wingdings" w:hint="default"/>
      </w:rPr>
    </w:lvl>
    <w:lvl w:ilvl="3" w:tplc="E62CD452" w:tentative="1">
      <w:start w:val="1"/>
      <w:numFmt w:val="bullet"/>
      <w:lvlText w:val=""/>
      <w:lvlJc w:val="left"/>
      <w:pPr>
        <w:tabs>
          <w:tab w:val="num" w:pos="2880"/>
        </w:tabs>
        <w:ind w:left="2880" w:hanging="360"/>
      </w:pPr>
      <w:rPr>
        <w:rFonts w:ascii="Wingdings" w:hAnsi="Wingdings" w:hint="default"/>
      </w:rPr>
    </w:lvl>
    <w:lvl w:ilvl="4" w:tplc="C714EC6A" w:tentative="1">
      <w:start w:val="1"/>
      <w:numFmt w:val="bullet"/>
      <w:lvlText w:val=""/>
      <w:lvlJc w:val="left"/>
      <w:pPr>
        <w:tabs>
          <w:tab w:val="num" w:pos="3600"/>
        </w:tabs>
        <w:ind w:left="3600" w:hanging="360"/>
      </w:pPr>
      <w:rPr>
        <w:rFonts w:ascii="Wingdings" w:hAnsi="Wingdings" w:hint="default"/>
      </w:rPr>
    </w:lvl>
    <w:lvl w:ilvl="5" w:tplc="2ABA6D90" w:tentative="1">
      <w:start w:val="1"/>
      <w:numFmt w:val="bullet"/>
      <w:lvlText w:val=""/>
      <w:lvlJc w:val="left"/>
      <w:pPr>
        <w:tabs>
          <w:tab w:val="num" w:pos="4320"/>
        </w:tabs>
        <w:ind w:left="4320" w:hanging="360"/>
      </w:pPr>
      <w:rPr>
        <w:rFonts w:ascii="Wingdings" w:hAnsi="Wingdings" w:hint="default"/>
      </w:rPr>
    </w:lvl>
    <w:lvl w:ilvl="6" w:tplc="9AFAE1F8" w:tentative="1">
      <w:start w:val="1"/>
      <w:numFmt w:val="bullet"/>
      <w:lvlText w:val=""/>
      <w:lvlJc w:val="left"/>
      <w:pPr>
        <w:tabs>
          <w:tab w:val="num" w:pos="5040"/>
        </w:tabs>
        <w:ind w:left="5040" w:hanging="360"/>
      </w:pPr>
      <w:rPr>
        <w:rFonts w:ascii="Wingdings" w:hAnsi="Wingdings" w:hint="default"/>
      </w:rPr>
    </w:lvl>
    <w:lvl w:ilvl="7" w:tplc="79529EFA" w:tentative="1">
      <w:start w:val="1"/>
      <w:numFmt w:val="bullet"/>
      <w:lvlText w:val=""/>
      <w:lvlJc w:val="left"/>
      <w:pPr>
        <w:tabs>
          <w:tab w:val="num" w:pos="5760"/>
        </w:tabs>
        <w:ind w:left="5760" w:hanging="360"/>
      </w:pPr>
      <w:rPr>
        <w:rFonts w:ascii="Wingdings" w:hAnsi="Wingdings" w:hint="default"/>
      </w:rPr>
    </w:lvl>
    <w:lvl w:ilvl="8" w:tplc="548044B8" w:tentative="1">
      <w:start w:val="1"/>
      <w:numFmt w:val="bullet"/>
      <w:lvlText w:val=""/>
      <w:lvlJc w:val="left"/>
      <w:pPr>
        <w:tabs>
          <w:tab w:val="num" w:pos="6480"/>
        </w:tabs>
        <w:ind w:left="6480" w:hanging="360"/>
      </w:pPr>
      <w:rPr>
        <w:rFonts w:ascii="Wingdings" w:hAnsi="Wingdings" w:hint="default"/>
      </w:rPr>
    </w:lvl>
  </w:abstractNum>
  <w:num w:numId="1" w16cid:durableId="2088529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4E0"/>
    <w:rsid w:val="00043DC5"/>
    <w:rsid w:val="00081282"/>
    <w:rsid w:val="000A41CD"/>
    <w:rsid w:val="001609EA"/>
    <w:rsid w:val="001B3A66"/>
    <w:rsid w:val="00220F49"/>
    <w:rsid w:val="0026444F"/>
    <w:rsid w:val="002A0B32"/>
    <w:rsid w:val="002E06F1"/>
    <w:rsid w:val="00386E69"/>
    <w:rsid w:val="003A4E1A"/>
    <w:rsid w:val="00420A23"/>
    <w:rsid w:val="0042279A"/>
    <w:rsid w:val="00506682"/>
    <w:rsid w:val="0055505A"/>
    <w:rsid w:val="005A335C"/>
    <w:rsid w:val="0071786A"/>
    <w:rsid w:val="007F44E0"/>
    <w:rsid w:val="008B134F"/>
    <w:rsid w:val="008D16A2"/>
    <w:rsid w:val="008D1B7E"/>
    <w:rsid w:val="00AB05BE"/>
    <w:rsid w:val="00BD255E"/>
    <w:rsid w:val="00BF7FBD"/>
    <w:rsid w:val="00C70912"/>
    <w:rsid w:val="00D67078"/>
    <w:rsid w:val="00D92B72"/>
    <w:rsid w:val="00E90D86"/>
    <w:rsid w:val="00F02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8EA30"/>
  <w15:docId w15:val="{B082B007-FE18-4189-9AE4-FE50B8B47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4E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F44E0"/>
    <w:pPr>
      <w:autoSpaceDE w:val="0"/>
      <w:autoSpaceDN w:val="0"/>
      <w:adjustRightInd w:val="0"/>
      <w:spacing w:after="0" w:line="240" w:lineRule="auto"/>
    </w:pPr>
    <w:rPr>
      <w:rFonts w:ascii="Tahoma" w:eastAsia="MS Mincho" w:hAnsi="Tahoma" w:cs="Tahoma"/>
      <w:color w:val="000000"/>
      <w:sz w:val="24"/>
      <w:szCs w:val="24"/>
      <w:lang w:eastAsia="ja-JP"/>
    </w:rPr>
  </w:style>
  <w:style w:type="paragraph" w:styleId="BalloonText">
    <w:name w:val="Balloon Text"/>
    <w:basedOn w:val="Normal"/>
    <w:link w:val="BalloonTextChar"/>
    <w:uiPriority w:val="99"/>
    <w:semiHidden/>
    <w:unhideWhenUsed/>
    <w:rsid w:val="00220F49"/>
    <w:rPr>
      <w:rFonts w:ascii="Tahoma" w:hAnsi="Tahoma" w:cs="Tahoma"/>
      <w:sz w:val="16"/>
      <w:szCs w:val="16"/>
    </w:rPr>
  </w:style>
  <w:style w:type="character" w:customStyle="1" w:styleId="BalloonTextChar">
    <w:name w:val="Balloon Text Char"/>
    <w:basedOn w:val="DefaultParagraphFont"/>
    <w:link w:val="BalloonText"/>
    <w:uiPriority w:val="99"/>
    <w:semiHidden/>
    <w:rsid w:val="00220F4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970985">
      <w:bodyDiv w:val="1"/>
      <w:marLeft w:val="0"/>
      <w:marRight w:val="0"/>
      <w:marTop w:val="0"/>
      <w:marBottom w:val="0"/>
      <w:divBdr>
        <w:top w:val="none" w:sz="0" w:space="0" w:color="auto"/>
        <w:left w:val="none" w:sz="0" w:space="0" w:color="auto"/>
        <w:bottom w:val="none" w:sz="0" w:space="0" w:color="auto"/>
        <w:right w:val="none" w:sz="0" w:space="0" w:color="auto"/>
      </w:divBdr>
      <w:divsChild>
        <w:div w:id="534082312">
          <w:marLeft w:val="547"/>
          <w:marRight w:val="0"/>
          <w:marTop w:val="115"/>
          <w:marBottom w:val="0"/>
          <w:divBdr>
            <w:top w:val="none" w:sz="0" w:space="0" w:color="auto"/>
            <w:left w:val="none" w:sz="0" w:space="0" w:color="auto"/>
            <w:bottom w:val="none" w:sz="0" w:space="0" w:color="auto"/>
            <w:right w:val="none" w:sz="0" w:space="0" w:color="auto"/>
          </w:divBdr>
        </w:div>
        <w:div w:id="881479034">
          <w:marLeft w:val="547"/>
          <w:marRight w:val="0"/>
          <w:marTop w:val="115"/>
          <w:marBottom w:val="0"/>
          <w:divBdr>
            <w:top w:val="none" w:sz="0" w:space="0" w:color="auto"/>
            <w:left w:val="none" w:sz="0" w:space="0" w:color="auto"/>
            <w:bottom w:val="none" w:sz="0" w:space="0" w:color="auto"/>
            <w:right w:val="none" w:sz="0" w:space="0" w:color="auto"/>
          </w:divBdr>
        </w:div>
        <w:div w:id="1300921045">
          <w:marLeft w:val="547"/>
          <w:marRight w:val="0"/>
          <w:marTop w:val="115"/>
          <w:marBottom w:val="0"/>
          <w:divBdr>
            <w:top w:val="none" w:sz="0" w:space="0" w:color="auto"/>
            <w:left w:val="none" w:sz="0" w:space="0" w:color="auto"/>
            <w:bottom w:val="none" w:sz="0" w:space="0" w:color="auto"/>
            <w:right w:val="none" w:sz="0" w:space="0" w:color="auto"/>
          </w:divBdr>
        </w:div>
        <w:div w:id="1672371647">
          <w:marLeft w:val="547"/>
          <w:marRight w:val="0"/>
          <w:marTop w:val="115"/>
          <w:marBottom w:val="0"/>
          <w:divBdr>
            <w:top w:val="none" w:sz="0" w:space="0" w:color="auto"/>
            <w:left w:val="none" w:sz="0" w:space="0" w:color="auto"/>
            <w:bottom w:val="none" w:sz="0" w:space="0" w:color="auto"/>
            <w:right w:val="none" w:sz="0" w:space="0" w:color="auto"/>
          </w:divBdr>
        </w:div>
      </w:divsChild>
    </w:div>
    <w:div w:id="500049272">
      <w:bodyDiv w:val="1"/>
      <w:marLeft w:val="0"/>
      <w:marRight w:val="0"/>
      <w:marTop w:val="0"/>
      <w:marBottom w:val="0"/>
      <w:divBdr>
        <w:top w:val="none" w:sz="0" w:space="0" w:color="auto"/>
        <w:left w:val="none" w:sz="0" w:space="0" w:color="auto"/>
        <w:bottom w:val="none" w:sz="0" w:space="0" w:color="auto"/>
        <w:right w:val="none" w:sz="0" w:space="0" w:color="auto"/>
      </w:divBdr>
    </w:div>
    <w:div w:id="509028553">
      <w:bodyDiv w:val="1"/>
      <w:marLeft w:val="0"/>
      <w:marRight w:val="0"/>
      <w:marTop w:val="0"/>
      <w:marBottom w:val="0"/>
      <w:divBdr>
        <w:top w:val="none" w:sz="0" w:space="0" w:color="auto"/>
        <w:left w:val="none" w:sz="0" w:space="0" w:color="auto"/>
        <w:bottom w:val="none" w:sz="0" w:space="0" w:color="auto"/>
        <w:right w:val="none" w:sz="0" w:space="0" w:color="auto"/>
      </w:divBdr>
      <w:divsChild>
        <w:div w:id="1795171870">
          <w:marLeft w:val="547"/>
          <w:marRight w:val="0"/>
          <w:marTop w:val="115"/>
          <w:marBottom w:val="0"/>
          <w:divBdr>
            <w:top w:val="none" w:sz="0" w:space="0" w:color="auto"/>
            <w:left w:val="none" w:sz="0" w:space="0" w:color="auto"/>
            <w:bottom w:val="none" w:sz="0" w:space="0" w:color="auto"/>
            <w:right w:val="none" w:sz="0" w:space="0" w:color="auto"/>
          </w:divBdr>
        </w:div>
        <w:div w:id="1347946981">
          <w:marLeft w:val="547"/>
          <w:marRight w:val="0"/>
          <w:marTop w:val="115"/>
          <w:marBottom w:val="0"/>
          <w:divBdr>
            <w:top w:val="none" w:sz="0" w:space="0" w:color="auto"/>
            <w:left w:val="none" w:sz="0" w:space="0" w:color="auto"/>
            <w:bottom w:val="none" w:sz="0" w:space="0" w:color="auto"/>
            <w:right w:val="none" w:sz="0" w:space="0" w:color="auto"/>
          </w:divBdr>
        </w:div>
        <w:div w:id="628975366">
          <w:marLeft w:val="547"/>
          <w:marRight w:val="0"/>
          <w:marTop w:val="115"/>
          <w:marBottom w:val="0"/>
          <w:divBdr>
            <w:top w:val="none" w:sz="0" w:space="0" w:color="auto"/>
            <w:left w:val="none" w:sz="0" w:space="0" w:color="auto"/>
            <w:bottom w:val="none" w:sz="0" w:space="0" w:color="auto"/>
            <w:right w:val="none" w:sz="0" w:space="0" w:color="auto"/>
          </w:divBdr>
        </w:div>
        <w:div w:id="2113545953">
          <w:marLeft w:val="547"/>
          <w:marRight w:val="0"/>
          <w:marTop w:val="115"/>
          <w:marBottom w:val="0"/>
          <w:divBdr>
            <w:top w:val="none" w:sz="0" w:space="0" w:color="auto"/>
            <w:left w:val="none" w:sz="0" w:space="0" w:color="auto"/>
            <w:bottom w:val="none" w:sz="0" w:space="0" w:color="auto"/>
            <w:right w:val="none" w:sz="0" w:space="0" w:color="auto"/>
          </w:divBdr>
        </w:div>
      </w:divsChild>
    </w:div>
    <w:div w:id="846216611">
      <w:bodyDiv w:val="1"/>
      <w:marLeft w:val="0"/>
      <w:marRight w:val="0"/>
      <w:marTop w:val="0"/>
      <w:marBottom w:val="0"/>
      <w:divBdr>
        <w:top w:val="none" w:sz="0" w:space="0" w:color="auto"/>
        <w:left w:val="none" w:sz="0" w:space="0" w:color="auto"/>
        <w:bottom w:val="none" w:sz="0" w:space="0" w:color="auto"/>
        <w:right w:val="none" w:sz="0" w:space="0" w:color="auto"/>
      </w:divBdr>
      <w:divsChild>
        <w:div w:id="1526409447">
          <w:marLeft w:val="547"/>
          <w:marRight w:val="0"/>
          <w:marTop w:val="115"/>
          <w:marBottom w:val="0"/>
          <w:divBdr>
            <w:top w:val="none" w:sz="0" w:space="0" w:color="auto"/>
            <w:left w:val="none" w:sz="0" w:space="0" w:color="auto"/>
            <w:bottom w:val="none" w:sz="0" w:space="0" w:color="auto"/>
            <w:right w:val="none" w:sz="0" w:space="0" w:color="auto"/>
          </w:divBdr>
        </w:div>
      </w:divsChild>
    </w:div>
    <w:div w:id="1039356327">
      <w:bodyDiv w:val="1"/>
      <w:marLeft w:val="0"/>
      <w:marRight w:val="0"/>
      <w:marTop w:val="0"/>
      <w:marBottom w:val="0"/>
      <w:divBdr>
        <w:top w:val="none" w:sz="0" w:space="0" w:color="auto"/>
        <w:left w:val="none" w:sz="0" w:space="0" w:color="auto"/>
        <w:bottom w:val="none" w:sz="0" w:space="0" w:color="auto"/>
        <w:right w:val="none" w:sz="0" w:space="0" w:color="auto"/>
      </w:divBdr>
      <w:divsChild>
        <w:div w:id="1837303129">
          <w:marLeft w:val="547"/>
          <w:marRight w:val="0"/>
          <w:marTop w:val="115"/>
          <w:marBottom w:val="0"/>
          <w:divBdr>
            <w:top w:val="none" w:sz="0" w:space="0" w:color="auto"/>
            <w:left w:val="none" w:sz="0" w:space="0" w:color="auto"/>
            <w:bottom w:val="none" w:sz="0" w:space="0" w:color="auto"/>
            <w:right w:val="none" w:sz="0" w:space="0" w:color="auto"/>
          </w:divBdr>
        </w:div>
        <w:div w:id="830801892">
          <w:marLeft w:val="547"/>
          <w:marRight w:val="0"/>
          <w:marTop w:val="115"/>
          <w:marBottom w:val="0"/>
          <w:divBdr>
            <w:top w:val="none" w:sz="0" w:space="0" w:color="auto"/>
            <w:left w:val="none" w:sz="0" w:space="0" w:color="auto"/>
            <w:bottom w:val="none" w:sz="0" w:space="0" w:color="auto"/>
            <w:right w:val="none" w:sz="0" w:space="0" w:color="auto"/>
          </w:divBdr>
        </w:div>
      </w:divsChild>
    </w:div>
    <w:div w:id="1043791950">
      <w:bodyDiv w:val="1"/>
      <w:marLeft w:val="0"/>
      <w:marRight w:val="0"/>
      <w:marTop w:val="0"/>
      <w:marBottom w:val="0"/>
      <w:divBdr>
        <w:top w:val="none" w:sz="0" w:space="0" w:color="auto"/>
        <w:left w:val="none" w:sz="0" w:space="0" w:color="auto"/>
        <w:bottom w:val="none" w:sz="0" w:space="0" w:color="auto"/>
        <w:right w:val="none" w:sz="0" w:space="0" w:color="auto"/>
      </w:divBdr>
      <w:divsChild>
        <w:div w:id="1720935597">
          <w:marLeft w:val="547"/>
          <w:marRight w:val="0"/>
          <w:marTop w:val="115"/>
          <w:marBottom w:val="0"/>
          <w:divBdr>
            <w:top w:val="none" w:sz="0" w:space="0" w:color="auto"/>
            <w:left w:val="none" w:sz="0" w:space="0" w:color="auto"/>
            <w:bottom w:val="none" w:sz="0" w:space="0" w:color="auto"/>
            <w:right w:val="none" w:sz="0" w:space="0" w:color="auto"/>
          </w:divBdr>
        </w:div>
        <w:div w:id="1987196970">
          <w:marLeft w:val="547"/>
          <w:marRight w:val="0"/>
          <w:marTop w:val="115"/>
          <w:marBottom w:val="0"/>
          <w:divBdr>
            <w:top w:val="none" w:sz="0" w:space="0" w:color="auto"/>
            <w:left w:val="none" w:sz="0" w:space="0" w:color="auto"/>
            <w:bottom w:val="none" w:sz="0" w:space="0" w:color="auto"/>
            <w:right w:val="none" w:sz="0" w:space="0" w:color="auto"/>
          </w:divBdr>
        </w:div>
      </w:divsChild>
    </w:div>
    <w:div w:id="1952735561">
      <w:bodyDiv w:val="1"/>
      <w:marLeft w:val="0"/>
      <w:marRight w:val="0"/>
      <w:marTop w:val="0"/>
      <w:marBottom w:val="0"/>
      <w:divBdr>
        <w:top w:val="none" w:sz="0" w:space="0" w:color="auto"/>
        <w:left w:val="none" w:sz="0" w:space="0" w:color="auto"/>
        <w:bottom w:val="none" w:sz="0" w:space="0" w:color="auto"/>
        <w:right w:val="none" w:sz="0" w:space="0" w:color="auto"/>
      </w:divBdr>
      <w:divsChild>
        <w:div w:id="1344278419">
          <w:marLeft w:val="547"/>
          <w:marRight w:val="0"/>
          <w:marTop w:val="115"/>
          <w:marBottom w:val="0"/>
          <w:divBdr>
            <w:top w:val="none" w:sz="0" w:space="0" w:color="auto"/>
            <w:left w:val="none" w:sz="0" w:space="0" w:color="auto"/>
            <w:bottom w:val="none" w:sz="0" w:space="0" w:color="auto"/>
            <w:right w:val="none" w:sz="0" w:space="0" w:color="auto"/>
          </w:divBdr>
        </w:div>
        <w:div w:id="165901169">
          <w:marLeft w:val="547"/>
          <w:marRight w:val="0"/>
          <w:marTop w:val="115"/>
          <w:marBottom w:val="0"/>
          <w:divBdr>
            <w:top w:val="none" w:sz="0" w:space="0" w:color="auto"/>
            <w:left w:val="none" w:sz="0" w:space="0" w:color="auto"/>
            <w:bottom w:val="none" w:sz="0" w:space="0" w:color="auto"/>
            <w:right w:val="none" w:sz="0" w:space="0" w:color="auto"/>
          </w:divBdr>
        </w:div>
        <w:div w:id="135318795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1854</Words>
  <Characters>10568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Jovanovic</dc:creator>
  <cp:lastModifiedBy>Nevena Gajovic</cp:lastModifiedBy>
  <cp:revision>3</cp:revision>
  <dcterms:created xsi:type="dcterms:W3CDTF">2025-05-18T16:07:00Z</dcterms:created>
  <dcterms:modified xsi:type="dcterms:W3CDTF">2025-05-18T17:09:00Z</dcterms:modified>
</cp:coreProperties>
</file>